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pPr>
      <w:r>
        <w:rPr>
          <w:rFonts w:ascii="Arial" w:cs="Arial" w:eastAsia="Arial" w:hAnsi="Arial"/>
          <w:sz w:val="28"/>
          <w:szCs w:val="28"/>
        </w:rPr>
        <w:t xml:space="preserve">Columna de opinión</w:t>
      </w:r>
    </w:p>
    <w:p>
      <w:pPr>
        <w:spacing w:after="160"/>
      </w:pPr>
      <w:r>
        <w:rPr>
          <w:rFonts w:ascii="Arial" w:cs="Arial" w:eastAsia="Arial" w:hAnsi="Arial"/>
          <w:sz w:val="22"/>
          <w:szCs w:val="22"/>
        </w:rPr>
        <w:t xml:space="preserve">Plantilla editable de Presse · https://presse.cl/thought-leadership/columna-de-opinion/</w:t>
      </w:r>
    </w:p>
    <w:p>
      <w:pPr>
        <w:spacing w:after="160"/>
      </w:pPr>
      <w:r>
        <w:rPr>
          <w:rFonts w:ascii="Arial" w:cs="Arial" w:eastAsia="Arial" w:hAnsi="Arial"/>
          <w:sz w:val="22"/>
          <w:szCs w:val="22"/>
        </w:rPr>
        <w:t xml:space="preserve">Descarga directa. Los datos que completes permanecen en tu archivo y no se envían a Presse. Reemplaza los ejemplos y valida cifras, permisos y credenciales antes de publicar.</w:t>
      </w:r>
    </w:p>
    <w:p>
      <w:pPr>
        <w:pStyle w:val="Heading2"/>
        <w:spacing w:after="160"/>
      </w:pPr>
      <w:r>
        <w:rPr>
          <w:rFonts w:ascii="Arial" w:cs="Arial" w:eastAsia="Arial" w:hAnsi="Arial"/>
          <w:sz w:val="28"/>
          <w:szCs w:val="28"/>
        </w:rPr>
        <w:t xml:space="preserve">Plantilla de columna de opinión</w:t>
      </w:r>
    </w:p>
    <w:p>
      <w:pPr>
        <w:spacing w:after="160"/>
      </w:pPr>
      <w:r>
        <w:rPr>
          <w:rFonts w:ascii="Arial" w:cs="Arial" w:eastAsia="Arial" w:hAnsi="Arial"/>
          <w:sz w:val="22"/>
          <w:szCs w:val="22"/>
        </w:rPr>
        <w:t xml:space="preserve">Título: [Tesis o tensión en una frase]</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Párrafo 1 — Gancho y tesis: [Hecho de actualidad]. [Por qué importa]. [Tu tesis en una frase].</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Párrafo 2 — Argumento 1: [Razón]. [Evidencia: dato con fuente, experiencia propia o caso].</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Párrafo 3 — Argumento 2: [Segunda razón o ejemplo concreto].</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Párrafo 4 — Contraargumento: Hay quienes sostienen que [postura contraria]. Es cierto que [concesión], pero [respuesta].</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Párrafo 5 — Cierre: [Propuesta concreta: qué deberían hacer empresas, autoridades o la industria].</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Firma: [Nombre], [cargo], [empresa]. Ver biografía ejecutiva.</w:t>
      </w:r>
    </w:p>
    <w:p>
      <w:pPr>
        <w:pStyle w:val="Heading2"/>
        <w:spacing w:after="160"/>
      </w:pPr>
      <w:r>
        <w:rPr>
          <w:rFonts w:ascii="Arial" w:cs="Arial" w:eastAsia="Arial" w:hAnsi="Arial"/>
          <w:sz w:val="28"/>
          <w:szCs w:val="28"/>
        </w:rPr>
        <w:t xml:space="preserve">Checklist antes de enviar</w:t>
      </w:r>
    </w:p>
    <w:p>
      <w:pPr>
        <w:spacing w:after="160"/>
      </w:pPr>
      <w:r>
        <w:rPr>
          <w:rFonts w:ascii="Arial" w:cs="Arial" w:eastAsia="Arial" w:hAnsi="Arial"/>
          <w:sz w:val="22"/>
          <w:szCs w:val="22"/>
        </w:rPr>
        <w:t xml:space="preserve">☐ La tesis se entiende en el primer párrafo.</w:t>
      </w:r>
    </w:p>
    <w:p>
      <w:pPr>
        <w:spacing w:after="160"/>
      </w:pPr>
      <w:r>
        <w:rPr>
          <w:rFonts w:ascii="Arial" w:cs="Arial" w:eastAsia="Arial" w:hAnsi="Arial"/>
          <w:sz w:val="22"/>
          <w:szCs w:val="22"/>
        </w:rPr>
        <w:t xml:space="preserve">☐ Hay al menos un dato con fuente o una experiencia propia concreta.</w:t>
      </w:r>
    </w:p>
    <w:p>
      <w:pPr>
        <w:spacing w:after="160"/>
      </w:pPr>
      <w:r>
        <w:rPr>
          <w:rFonts w:ascii="Arial" w:cs="Arial" w:eastAsia="Arial" w:hAnsi="Arial"/>
          <w:sz w:val="22"/>
          <w:szCs w:val="22"/>
        </w:rPr>
        <w:t xml:space="preserve">☐ No es publicidad de la empresa: el tema es la industria, no el producto.</w:t>
      </w:r>
    </w:p>
    <w:p>
      <w:pPr>
        <w:spacing w:after="160"/>
      </w:pPr>
      <w:r>
        <w:rPr>
          <w:rFonts w:ascii="Arial" w:cs="Arial" w:eastAsia="Arial" w:hAnsi="Arial"/>
          <w:sz w:val="22"/>
          <w:szCs w:val="22"/>
        </w:rPr>
        <w:t xml:space="preserve">☐ Reconoce la postura contraria.</w:t>
      </w:r>
    </w:p>
    <w:p>
      <w:pPr>
        <w:spacing w:after="160"/>
      </w:pPr>
      <w:r>
        <w:rPr>
          <w:rFonts w:ascii="Arial" w:cs="Arial" w:eastAsia="Arial" w:hAnsi="Arial"/>
          <w:sz w:val="22"/>
          <w:szCs w:val="22"/>
        </w:rPr>
        <w:t xml:space="preserve">☐ El cierre propone algo.</w:t>
      </w:r>
    </w:p>
    <w:p>
      <w:pPr>
        <w:spacing w:after="160"/>
      </w:pPr>
      <w:r>
        <w:rPr>
          <w:rFonts w:ascii="Arial" w:cs="Arial" w:eastAsia="Arial" w:hAnsi="Arial"/>
          <w:sz w:val="22"/>
          <w:szCs w:val="22"/>
        </w:rPr>
        <w:t xml:space="preserve">☐ Frases cortas y sin jerga innecesaria.</w:t>
      </w:r>
    </w:p>
    <w:p>
      <w:pPr>
        <w:spacing w:after="160"/>
      </w:pPr>
      <w:r>
        <w:rPr>
          <w:rFonts w:ascii="Arial" w:cs="Arial" w:eastAsia="Arial" w:hAnsi="Arial"/>
          <w:sz w:val="22"/>
          <w:szCs w:val="22"/>
        </w:rPr>
        <w:t xml:space="preserve">☐ Extensión ajustada a las indicaciones del medio.</w:t>
      </w:r>
    </w:p>
    <w:p>
      <w:pPr>
        <w:pStyle w:val="Heading1"/>
        <w:spacing w:after="160"/>
      </w:pPr>
      <w:r>
        <w:rPr>
          <w:rFonts w:ascii="Arial" w:cs="Arial" w:eastAsia="Arial" w:hAnsi="Arial"/>
          <w:sz w:val="28"/>
          <w:szCs w:val="28"/>
        </w:rPr>
        <w:t xml:space="preserve">Ejemplo ficticio comentado · 579 palabras</w:t>
      </w:r>
    </w:p>
    <w:p>
      <w:pPr>
        <w:spacing w:after="160"/>
      </w:pPr>
      <w:r>
        <w:rPr>
          <w:rFonts w:ascii="Arial" w:cs="Arial" w:eastAsia="Arial" w:hAnsi="Arial"/>
          <w:sz w:val="22"/>
          <w:szCs w:val="22"/>
        </w:rPr>
        <w:t xml:space="preserve">No publicado. El caso es hipotético, no evidencia real. Sustituye los hechos y la firma; no atribuyas el escenario a tu propia experiencia.</w:t>
      </w:r>
    </w:p>
    <w:p>
      <w:pPr>
        <w:pStyle w:val="Heading2"/>
        <w:spacing w:after="160"/>
      </w:pPr>
      <w:r>
        <w:rPr>
          <w:rFonts w:ascii="Arial" w:cs="Arial" w:eastAsia="Arial" w:hAnsi="Arial"/>
          <w:sz w:val="28"/>
          <w:szCs w:val="28"/>
        </w:rPr>
        <w:t xml:space="preserve">Inicio y tesis</w:t>
      </w:r>
    </w:p>
    <w:p>
      <w:pPr>
        <w:spacing w:after="160"/>
      </w:pPr>
      <w:r>
        <w:rPr>
          <w:rFonts w:ascii="Arial" w:cs="Arial" w:eastAsia="Arial" w:hAnsi="Arial"/>
          <w:sz w:val="22"/>
          <w:szCs w:val="22"/>
        </w:rPr>
        <w:t xml:space="preserve">Publicar más no reemplaza aportar una idea útil. Un ejecutivo puede mantener una agenda de contenidos muy activa y, aun así, dejar a su audiencia sin una propuesta que recordar. La cuestión no es elegir entre presencia y silencio, sino decidir qué conversación merece sostener. Mi postura es que un programa de liderazgo de opinión debería empezar por la experiencia que el vocero puede explicar y defender, antes de fijar un volumen de publicaciones. Ese orden evita tratar cada espacio disponible como una obligación de decir algo, aunque todavía no exista una idea suficientemente trabajada.</w:t>
      </w:r>
    </w:p>
    <w:p>
      <w:pPr>
        <w:spacing w:after="160"/>
      </w:pPr>
      <w:r>
        <w:rPr>
          <w:rFonts w:ascii="Arial" w:cs="Arial" w:eastAsia="Arial" w:hAnsi="Arial"/>
          <w:sz w:val="22"/>
          <w:szCs w:val="22"/>
        </w:rPr>
        <w:t xml:space="preserve">Comentario editorial: esta sección cumple la función de inicio y tesis. Valida argumentos y fuentes; ajusta el texto a las indicaciones del editor.</w:t>
      </w:r>
    </w:p>
    <w:p>
      <w:pPr>
        <w:pStyle w:val="Heading2"/>
        <w:spacing w:after="160"/>
      </w:pPr>
      <w:r>
        <w:rPr>
          <w:rFonts w:ascii="Arial" w:cs="Arial" w:eastAsia="Arial" w:hAnsi="Arial"/>
          <w:sz w:val="28"/>
          <w:szCs w:val="28"/>
        </w:rPr>
        <w:t xml:space="preserve">Argumento 1</w:t>
      </w:r>
    </w:p>
    <w:p>
      <w:pPr>
        <w:spacing w:after="160"/>
      </w:pPr>
      <w:r>
        <w:rPr>
          <w:rFonts w:ascii="Arial" w:cs="Arial" w:eastAsia="Arial" w:hAnsi="Arial"/>
          <w:sz w:val="22"/>
          <w:szCs w:val="22"/>
        </w:rPr>
        <w:t xml:space="preserve">La primera razón es editorial. Una idea propia exige seleccionar, contrastar y renunciar a parte del material. Imaginemos una empresa ficticia que necesita mejorar la coordinación entre sus equipos. Su director podría publicar una frase general sobre colaboración o explicar cómo distinguir un problema de comunicación de uno de responsabilidades. La segunda alternativa permite al lector examinar un criterio y aplicarlo a su situación. El escenario es hipotético: no constituye evidencia de resultados comerciales. Sirve para mostrar qué tipo de experiencia verificable tendría que aportar un vocero real antes de firmar un argumento semejante.</w:t>
      </w:r>
    </w:p>
    <w:p>
      <w:pPr>
        <w:spacing w:after="160"/>
      </w:pPr>
      <w:r>
        <w:rPr>
          <w:rFonts w:ascii="Arial" w:cs="Arial" w:eastAsia="Arial" w:hAnsi="Arial"/>
          <w:sz w:val="22"/>
          <w:szCs w:val="22"/>
        </w:rPr>
        <w:t xml:space="preserve">Comentario editorial: esta sección cumple la función de argumento 1. Valida argumentos y fuentes; ajusta el texto a las indicaciones del editor.</w:t>
      </w:r>
    </w:p>
    <w:p>
      <w:pPr>
        <w:pStyle w:val="Heading2"/>
        <w:spacing w:after="160"/>
      </w:pPr>
      <w:r>
        <w:rPr>
          <w:rFonts w:ascii="Arial" w:cs="Arial" w:eastAsia="Arial" w:hAnsi="Arial"/>
          <w:sz w:val="28"/>
          <w:szCs w:val="28"/>
        </w:rPr>
        <w:t xml:space="preserve">Argumento 2</w:t>
      </w:r>
    </w:p>
    <w:p>
      <w:pPr>
        <w:spacing w:after="160"/>
      </w:pPr>
      <w:r>
        <w:rPr>
          <w:rFonts w:ascii="Arial" w:cs="Arial" w:eastAsia="Arial" w:hAnsi="Arial"/>
          <w:sz w:val="22"/>
          <w:szCs w:val="22"/>
        </w:rPr>
        <w:t xml:space="preserve">La segunda razón es práctica. Cuando un equipo parte de un calendario y luego intenta llenar sus casillas, corre el riesgo de convertir el trabajo editorial en una búsqueda de temas intercambiables. Si parte de preguntas relevantes, el calendario puede organizar materiales con una relación reconocible. Una entrevista interna puede revelar una decisión difícil, una objeción de un cliente o una limitación de un proyecto. Cada pieza necesita autorización y revisión de los hechos. Lo importante no es que todas compartan un eslogan, sino que expresen una forma coherente de analizar problemas y reconocer lo que todavía no se sabe.</w:t>
      </w:r>
    </w:p>
    <w:p>
      <w:pPr>
        <w:spacing w:after="160"/>
      </w:pPr>
      <w:r>
        <w:rPr>
          <w:rFonts w:ascii="Arial" w:cs="Arial" w:eastAsia="Arial" w:hAnsi="Arial"/>
          <w:sz w:val="22"/>
          <w:szCs w:val="22"/>
        </w:rPr>
        <w:t xml:space="preserve">Comentario editorial: esta sección cumple la función de argumento 2. Valida argumentos y fuentes; ajusta el texto a las indicaciones del editor.</w:t>
      </w:r>
    </w:p>
    <w:p>
      <w:pPr>
        <w:pStyle w:val="Heading2"/>
        <w:spacing w:after="160"/>
      </w:pPr>
      <w:r>
        <w:rPr>
          <w:rFonts w:ascii="Arial" w:cs="Arial" w:eastAsia="Arial" w:hAnsi="Arial"/>
          <w:sz w:val="28"/>
          <w:szCs w:val="28"/>
        </w:rPr>
        <w:t xml:space="preserve">Contraargumento</w:t>
      </w:r>
    </w:p>
    <w:p>
      <w:pPr>
        <w:spacing w:after="160"/>
      </w:pPr>
      <w:r>
        <w:rPr>
          <w:rFonts w:ascii="Arial" w:cs="Arial" w:eastAsia="Arial" w:hAnsi="Arial"/>
          <w:sz w:val="22"/>
          <w:szCs w:val="22"/>
        </w:rPr>
        <w:t xml:space="preserve">Hay una objeción atendible: sin regularidad, una buena idea puede pasar inadvertida y la audiencia puede olvidar al vocero. Es cierto que planificar ayuda a sostener el trabajo y a repartir responsabilidades. Sin embargo, la constancia no obliga a mantener una frecuencia que el equipo no puede cumplir con rigor. También puede consistir en volver a una pregunta, actualizar su evidencia y conversar con quienes discrepan. No propongo eliminar el calendario, sino subordinarlo al contenido y a la capacidad real de revisión. La agenda debe facilitar el criterio, no sustituirlo ni crear una promesa de alcance.</w:t>
      </w:r>
    </w:p>
    <w:p>
      <w:pPr>
        <w:spacing w:after="160"/>
      </w:pPr>
      <w:r>
        <w:rPr>
          <w:rFonts w:ascii="Arial" w:cs="Arial" w:eastAsia="Arial" w:hAnsi="Arial"/>
          <w:sz w:val="22"/>
          <w:szCs w:val="22"/>
        </w:rPr>
        <w:t xml:space="preserve">Comentario editorial: esta sección cumple la función de contraargumento. Valida argumentos y fuentes; ajusta el texto a las indicaciones del editor.</w:t>
      </w:r>
    </w:p>
    <w:p>
      <w:pPr>
        <w:pStyle w:val="Heading2"/>
        <w:spacing w:after="160"/>
      </w:pPr>
      <w:r>
        <w:rPr>
          <w:rFonts w:ascii="Arial" w:cs="Arial" w:eastAsia="Arial" w:hAnsi="Arial"/>
          <w:sz w:val="28"/>
          <w:szCs w:val="28"/>
        </w:rPr>
        <w:t xml:space="preserve">Propuesta</w:t>
      </w:r>
    </w:p>
    <w:p>
      <w:pPr>
        <w:spacing w:after="160"/>
      </w:pPr>
      <w:r>
        <w:rPr>
          <w:rFonts w:ascii="Arial" w:cs="Arial" w:eastAsia="Arial" w:hAnsi="Arial"/>
          <w:sz w:val="22"/>
          <w:szCs w:val="22"/>
        </w:rPr>
        <w:t xml:space="preserve">La propuesta es concreta: antes de programar, define unos pocos territorios que el ejecutivo pueda sostener, registra ejemplos autorizados y acuerda un proceso de validación. Para cada publicación, pregunta qué ayuda a comprender, qué evidencia contiene y qué decisión permite discutir. Si esas respuestas son débiles, trabaja el material o pospón la pieza. Documenta también las conversaciones que genera, sin confundir impresiones con autoridad ni oportunidades con ventas causadas por una publicación. Revisa los resultados en períodos comparables y admite que otros factores pueden explicar sus variaciones. Una evaluación útil debe poder modificar el plan original.</w:t>
      </w:r>
    </w:p>
    <w:p>
      <w:pPr>
        <w:spacing w:after="160"/>
      </w:pPr>
      <w:r>
        <w:rPr>
          <w:rFonts w:ascii="Arial" w:cs="Arial" w:eastAsia="Arial" w:hAnsi="Arial"/>
          <w:sz w:val="22"/>
          <w:szCs w:val="22"/>
        </w:rPr>
        <w:t xml:space="preserve">Comentario editorial: esta sección cumple la función de propuesta. Valida argumentos y fuentes; ajusta el texto a las indicaciones del editor.</w:t>
      </w:r>
    </w:p>
    <w:p>
      <w:pPr>
        <w:pStyle w:val="Heading2"/>
        <w:spacing w:after="160"/>
      </w:pPr>
      <w:r>
        <w:rPr>
          <w:rFonts w:ascii="Arial" w:cs="Arial" w:eastAsia="Arial" w:hAnsi="Arial"/>
          <w:sz w:val="28"/>
          <w:szCs w:val="28"/>
        </w:rPr>
        <w:t xml:space="preserve">Cierre</w:t>
      </w:r>
    </w:p>
    <w:p>
      <w:pPr>
        <w:spacing w:after="160"/>
      </w:pPr>
      <w:r>
        <w:rPr>
          <w:rFonts w:ascii="Arial" w:cs="Arial" w:eastAsia="Arial" w:hAnsi="Arial"/>
          <w:sz w:val="22"/>
          <w:szCs w:val="22"/>
        </w:rPr>
        <w:t xml:space="preserve">Los responsables de comunicación y los voceros pueden empezar con una pregunta sencilla: ¿qué sabemos por experiencia que sería útil explicar a nuestra audiencia? La respuesta necesita trabajo, permiso para compartirla y disposición a reconocer límites. Publicar debería ser la consecuencia de ese proceso, no su sustituto. Un programa editorial que prioriza ideas defendibles puede ser más útil que uno definido únicamente por cantidad, aunque no garantice citas, invitaciones ni negocio. Ese es el cambio que propongo: usar el calendario para dar continuidad a una voz con criterio, en vez de usar la voz para llenar un calendario.</w:t>
      </w:r>
    </w:p>
    <w:p>
      <w:pPr>
        <w:spacing w:after="160"/>
      </w:pPr>
      <w:r>
        <w:rPr>
          <w:rFonts w:ascii="Arial" w:cs="Arial" w:eastAsia="Arial" w:hAnsi="Arial"/>
          <w:sz w:val="22"/>
          <w:szCs w:val="22"/>
        </w:rPr>
        <w:t xml:space="preserve">Comentario editorial: esta sección cumple la función de cierre. Valida argumentos y fuentes; ajusta el texto a las indicaciones del editor.</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Columna de opinión</dc:title>
  <dc:creator>Presse</dc:creator>
  <cp:lastModifiedBy>Un-named</cp:lastModifiedBy>
  <cp:revision>1</cp:revision>
  <dcterms:created xsi:type="dcterms:W3CDTF">2026-10-10T11:48:35.681Z</dcterms:created>
  <dcterms:modified xsi:type="dcterms:W3CDTF">2026-10-10T11:48:35.681Z</dcterms:modified>
</cp:coreProperties>
</file>

<file path=docProps/custom.xml><?xml version="1.0" encoding="utf-8"?>
<Properties xmlns="http://schemas.openxmlformats.org/officeDocument/2006/custom-properties" xmlns:vt="http://schemas.openxmlformats.org/officeDocument/2006/docPropsVTypes"/>
</file>